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Karlshamn kommunfullmäktige</w:t>
      </w:r>
    </w:p>
    <w:p>
      <w:pPr>
        <w:pStyle w:val="Heading1"/>
      </w:pPr>
      <w:r>
        <w:t xml:space="preserve">Energieffektivisering av kommunala lokaler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Karlshamn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Karlshamns kommunala fastigheter har hög energianvändning. Enligt energideklarationer 2024 kan besparingar på 15–20 % uppnås genom åtgärder i skolor och äldreboenden.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Karlshamn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antar ett mål om 20 % minskad energianvändning i kommunala fastigheter till 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investeringsplan för energieffektivisering tas fram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solcellsanläggningar utreds på minst tre kommunala fastigheter.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besparingarna används för att stärka välfärdsverksamhet.</w:t>
      </w:r>
    </w:p>
    <w:p>
      <w:pPr>
        <w:spacing w:before="360"/>
      </w:pPr>
    </w:p>
    <w:p>
      <w:r>
        <w:t xml:space="preserve">Karlshamn,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Karlshamn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2026-07-14T00:23:43.137Z</dcterms:created>
  <dcterms:modified xsi:type="dcterms:W3CDTF">2026-07-14T00:23:43.137Z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